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368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368665"/>
                    </a:xfrm>
                    <a:prstGeom prst="rect">
                      <a:avLst/>
                    </a:prstGeom>
                    <a:noFill/>
                  </pic:spPr>
                </pic:pic>
              </a:graphicData>
            </a:graphic>
          </wp:anchor>
        </w:drawing>
      </w:r>
    </w:p>
    <w:p>
      <w:pPr>
        <w:spacing w:after="0" w:line="1285"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Heard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N. WACKER DRIVE, SUITE 3650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Anterix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ATEX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80"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left="1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02/14/2025</w:t>
            </w:r>
            <w:r>
              <w:rPr>
                <w:rFonts w:ascii="Times New Roman" w:cs="Times New Roman" w:eastAsia="Times New Roman" w:hAnsi="Times New Roman"/>
                <w:sz w:val="22"/>
                <w:szCs w:val="22"/>
                <w:color w:val="008000"/>
                <w:w w:val="97"/>
                <w:vertAlign w:val="superscript"/>
              </w:rPr>
              <w:t>(1)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7,900</w:t>
            </w:r>
          </w:p>
        </w:tc>
        <w:tc>
          <w:tcPr>
            <w:tcW w:w="440" w:type="dxa"/>
            <w:vAlign w:val="bottom"/>
            <w:vMerge w:val="restart"/>
          </w:tcPr>
          <w:p>
            <w:pPr>
              <w:jc w:val="center"/>
              <w:ind w:left="3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41.18</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1,744,238</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Heard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share ("Common Stock")</w:t>
            </w: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40" w:type="dxa"/>
            <w:vAlign w:val="bottom"/>
            <w:gridSpan w:val="3"/>
            <w:vMerge w:val="continue"/>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02/20/2025</w:t>
            </w:r>
            <w:r>
              <w:rPr>
                <w:rFonts w:ascii="Times New Roman" w:cs="Times New Roman" w:eastAsia="Times New Roman" w:hAnsi="Times New Roman"/>
                <w:sz w:val="22"/>
                <w:szCs w:val="22"/>
                <w:color w:val="008000"/>
                <w:w w:val="97"/>
                <w:vertAlign w:val="superscript"/>
              </w:rPr>
              <w:t>(1)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2,249</w:t>
            </w:r>
          </w:p>
        </w:tc>
        <w:tc>
          <w:tcPr>
            <w:tcW w:w="440" w:type="dxa"/>
            <w:vAlign w:val="bottom"/>
            <w:vMerge w:val="restart"/>
          </w:tcPr>
          <w:p>
            <w:pPr>
              <w:jc w:val="center"/>
              <w:ind w:left="3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41.67</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1,741,989</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Heard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03/17/2025</w:t>
            </w:r>
            <w:r>
              <w:rPr>
                <w:rFonts w:ascii="Times New Roman" w:cs="Times New Roman" w:eastAsia="Times New Roman" w:hAnsi="Times New Roman"/>
                <w:sz w:val="22"/>
                <w:szCs w:val="22"/>
                <w:color w:val="008000"/>
                <w:w w:val="97"/>
                <w:vertAlign w:val="superscript"/>
              </w:rPr>
              <w:t>(1)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8,251</w:t>
            </w:r>
          </w:p>
        </w:tc>
        <w:tc>
          <w:tcPr>
            <w:tcW w:w="440" w:type="dxa"/>
            <w:vAlign w:val="bottom"/>
            <w:vMerge w:val="restart"/>
          </w:tcPr>
          <w:p>
            <w:pPr>
              <w:jc w:val="center"/>
              <w:ind w:left="3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38.73</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1,733,738</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Heard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03/19/2025</w:t>
            </w:r>
            <w:r>
              <w:rPr>
                <w:rFonts w:ascii="Times New Roman" w:cs="Times New Roman" w:eastAsia="Times New Roman" w:hAnsi="Times New Roman"/>
                <w:sz w:val="22"/>
                <w:szCs w:val="22"/>
                <w:color w:val="008000"/>
                <w:w w:val="97"/>
                <w:vertAlign w:val="superscript"/>
              </w:rPr>
              <w:t>(1)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6,500</w:t>
            </w:r>
          </w:p>
        </w:tc>
        <w:tc>
          <w:tcPr>
            <w:tcW w:w="440" w:type="dxa"/>
            <w:vAlign w:val="bottom"/>
            <w:vMerge w:val="restart"/>
          </w:tcPr>
          <w:p>
            <w:pPr>
              <w:jc w:val="center"/>
              <w:ind w:left="3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38.93</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1,727,238</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Heard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03/20/2025</w:t>
            </w:r>
            <w:r>
              <w:rPr>
                <w:rFonts w:ascii="Times New Roman" w:cs="Times New Roman" w:eastAsia="Times New Roman" w:hAnsi="Times New Roman"/>
                <w:sz w:val="22"/>
                <w:szCs w:val="22"/>
                <w:color w:val="008000"/>
                <w:w w:val="97"/>
                <w:vertAlign w:val="superscript"/>
              </w:rPr>
              <w:t>(1)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7,000</w:t>
            </w:r>
          </w:p>
        </w:tc>
        <w:tc>
          <w:tcPr>
            <w:tcW w:w="440" w:type="dxa"/>
            <w:vAlign w:val="bottom"/>
            <w:vMerge w:val="restart"/>
          </w:tcPr>
          <w:p>
            <w:pPr>
              <w:jc w:val="center"/>
              <w:ind w:left="3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38.4</w:t>
            </w:r>
            <w:r>
              <w:rPr>
                <w:rFonts w:ascii="Times New Roman" w:cs="Times New Roman" w:eastAsia="Times New Roman" w:hAnsi="Times New Roman"/>
                <w:sz w:val="22"/>
                <w:szCs w:val="22"/>
                <w:color w:val="008000"/>
                <w:w w:val="95"/>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1,720,238</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Heard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03/21/2025</w:t>
            </w:r>
            <w:r>
              <w:rPr>
                <w:rFonts w:ascii="Times New Roman" w:cs="Times New Roman" w:eastAsia="Times New Roman" w:hAnsi="Times New Roman"/>
                <w:sz w:val="22"/>
                <w:szCs w:val="22"/>
                <w:color w:val="008000"/>
                <w:w w:val="97"/>
                <w:vertAlign w:val="superscript"/>
              </w:rPr>
              <w:t>(1)</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3,500</w:t>
            </w:r>
          </w:p>
        </w:tc>
        <w:tc>
          <w:tcPr>
            <w:tcW w:w="440" w:type="dxa"/>
            <w:vAlign w:val="bottom"/>
            <w:vMerge w:val="restart"/>
          </w:tcPr>
          <w:p>
            <w:pPr>
              <w:jc w:val="center"/>
              <w:ind w:left="3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jc w:val="center"/>
              <w:ind w:left="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37.97</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1,716,738</w:t>
            </w:r>
          </w:p>
        </w:tc>
        <w:tc>
          <w:tcPr>
            <w:tcW w:w="920" w:type="dxa"/>
            <w:vAlign w:val="bottom"/>
            <w:vMerge w:val="restart"/>
          </w:tcPr>
          <w:p>
            <w:pPr>
              <w:jc w:val="center"/>
              <w:ind w:right="50"/>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Heard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1,887</w:t>
            </w:r>
          </w:p>
        </w:tc>
        <w:tc>
          <w:tcPr>
            <w:tcW w:w="920" w:type="dxa"/>
            <w:vAlign w:val="bottom"/>
            <w:tcBorders>
              <w:top w:val="single" w:sz="8" w:color="2C2C2C"/>
            </w:tcBorders>
          </w:tcPr>
          <w:p>
            <w:pPr>
              <w:jc w:val="center"/>
              <w:ind w:right="5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dispositions reported herein were executed under the trading discretion of an individual portfolio manager at Heard Capital LLC without any instruction from or knowledge of the Reporting Person.</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The Reporting Person has promptly reported the transactions after becoming aware of them.</w:t>
      </w:r>
    </w:p>
    <w:p>
      <w:pPr>
        <w:spacing w:after="0" w:line="50" w:lineRule="exact"/>
        <w:rPr>
          <w:sz w:val="20"/>
          <w:szCs w:val="20"/>
          <w:color w:val="auto"/>
        </w:rPr>
      </w:pPr>
    </w:p>
    <w:p>
      <w:pPr>
        <w:jc w:val="both"/>
        <w:ind w:firstLine="7"/>
        <w:spacing w:after="0" w:line="247"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weighted average price. These shares were sold in multiple transactions at prices in the range indicated for the corresponding transaction date as follows: Price range for 02/14/2025: $40.83 to $41.48, inclusive; Price range for 03/17/2025: $38.49 to $39.41, inclusive; Price range for 03/19/2025: $38.84 to $38.99, inclusive; Price range for 03/20/2025: $38.40 to $38.39, inclusive. The Reporting Person undertakes to provide to the Issuer, any security holder of the Issuer, or the staff of the Securities and Exchange Commission, upon request, full information regarding the number of shares sold at each separate price within such range.</w:t>
      </w:r>
    </w:p>
    <w:p>
      <w:pPr>
        <w:spacing w:after="0" w:line="24" w:lineRule="exact"/>
        <w:rPr>
          <w:rFonts w:ascii="Times New Roman" w:cs="Times New Roman" w:eastAsia="Times New Roman" w:hAnsi="Times New Roman"/>
          <w:sz w:val="13"/>
          <w:szCs w:val="13"/>
          <w:color w:val="008000"/>
        </w:rPr>
      </w:pPr>
    </w:p>
    <w:p>
      <w:pPr>
        <w:ind w:right="1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certain investment funds and/or accounts for which Heard Capital LLC serves as investment manager. The Reporting Person is the ultimate beneficial owner of Heard Capital LLC. Each of Heard Capital LLC and the Reporting Person disclaims beneficial ownership of the securities to which this filing relates for purposes of Section 16 of the Securities and Exchange Act of 1934, as amended, except to the extent of his or its pecuniary interest therein.</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William Heard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04/17/2025</w:t>
            </w: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5875" TargetMode="External"/><Relationship Id="rId14" Type="http://schemas.openxmlformats.org/officeDocument/2006/relationships/hyperlink" Target="http://www.sec.gov/cgi-bin/browse-edgar?action=getcompany&amp;CIK=00013044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2025-04-17T15:08:49Z</dcterms:created>
  <dcterms:modified xsi:type="dcterms:W3CDTF">2025-04-17T15:08:49Z</dcterms:modified>
</cp:coreProperties>
</file>