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18, 2025</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Anterix Inc.</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001-36827</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33-0745043</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00" w:type="dxa"/>
            <w:vAlign w:val="bottom"/>
          </w:tcPr>
          <w:p>
            <w:pPr>
              <w:spacing w:after="0"/>
              <w:rPr>
                <w:sz w:val="21"/>
                <w:szCs w:val="21"/>
                <w:color w:val="auto"/>
              </w:rPr>
            </w:pP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3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Garret Mountain Plaza</w:t>
            </w:r>
          </w:p>
        </w:tc>
        <w:tc>
          <w:tcPr>
            <w:tcW w:w="2900" w:type="dxa"/>
            <w:vAlign w:val="bottom"/>
          </w:tcPr>
          <w:p>
            <w:pPr>
              <w:spacing w:after="0"/>
              <w:rPr>
                <w:sz w:val="24"/>
                <w:szCs w:val="24"/>
                <w:color w:val="auto"/>
              </w:rPr>
            </w:pPr>
          </w:p>
        </w:tc>
        <w:tc>
          <w:tcPr>
            <w:tcW w:w="280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07424</w:t>
            </w:r>
          </w:p>
        </w:tc>
        <w:tc>
          <w:tcPr>
            <w:tcW w:w="0" w:type="dxa"/>
            <w:vAlign w:val="bottom"/>
          </w:tcPr>
          <w:p>
            <w:pPr>
              <w:spacing w:after="0"/>
              <w:rPr>
                <w:sz w:val="1"/>
                <w:szCs w:val="1"/>
                <w:color w:val="auto"/>
              </w:rPr>
            </w:pPr>
          </w:p>
        </w:tc>
      </w:tr>
      <w:tr>
        <w:trPr>
          <w:trHeight w:val="189"/>
        </w:trPr>
        <w:tc>
          <w:tcPr>
            <w:tcW w:w="3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Suite 401</w:t>
            </w:r>
          </w:p>
        </w:tc>
        <w:tc>
          <w:tcPr>
            <w:tcW w:w="29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Woodland Park, NJ</w:t>
            </w:r>
          </w:p>
        </w:tc>
        <w:tc>
          <w:tcPr>
            <w:tcW w:w="2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00" w:type="dxa"/>
            <w:vAlign w:val="bottom"/>
          </w:tcPr>
          <w:p>
            <w:pPr>
              <w:spacing w:after="0"/>
              <w:rPr>
                <w:sz w:val="22"/>
                <w:szCs w:val="22"/>
                <w:color w:val="auto"/>
              </w:rPr>
            </w:pPr>
          </w:p>
        </w:tc>
        <w:tc>
          <w:tcPr>
            <w:tcW w:w="28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(973) 771-0300</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ind w:right="700"/>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MS PGothic" w:cs="MS PGothic" w:eastAsia="MS PGothic" w:hAnsi="MS PGothic"/>
          <w:sz w:val="18"/>
          <w:szCs w:val="18"/>
          <w:color w:val="auto"/>
        </w:rPr>
      </w:pPr>
    </w:p>
    <w:p>
      <w:pPr>
        <w:ind w:left="220" w:hanging="212"/>
        <w:spacing w:after="0" w:line="219"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560" w:right="3000" w:hanging="3552"/>
        <w:spacing w:after="0" w:line="233" w:lineRule="auto"/>
        <w:tabs>
          <w:tab w:leader="none" w:pos="2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8"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ATEX</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7"/>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49" w:lineRule="exact"/>
        <w:rPr>
          <w:sz w:val="24"/>
          <w:szCs w:val="24"/>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7" w:right="31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Timothy A. Gray, the Chief Financial Officer of Anterix Inc. (the “Company”), has informed the Company of his resignation as Chief Financial Officer of the Company effective September 19, 2025. In connection with Mr. Gray’s resignation, the Board of Directors of the Company has appointed Elena Marquez, who was serving as the Company’s Vice President of Finance and Controller, as the Company’s Chief Financial Officer, effective September 22, 2025. The Board also designated Ms. Marquez as the Company’s principal financial officer and principal accounting officer for purposes of the rules and regulations of the Securities and Exchange Commission, to be effective upon her appointment as Chief Financial Officer.</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Ms. Marquez (39), has been the Company’s Vice President of Finance and Controller since September 2021. Prior to joining the Company, Ms. Marquez held accounting and finance leadership positions at Clinical Genomics, a biotech company and distributor of medical diagnostic products, from September 2018 to September 2021, rising to the rank of Global Controller. Prior to that, Ms. Marquez held various financial reporting roles at Prudential Financial from March 2015 to August 2018 and auditor roles at UHY Advisors from January 2012 to March 2015. Ms. Marquez holds both Bachelor of Science and Master of Science degrees in accounting and information systems from Queens College of the City of New York and is a certified public accountant.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Ms. Marquez’s promotion, effective September 22, 2025 she will be receiving additional compensation and benefits, including:</w:t>
      </w:r>
    </w:p>
    <w:p>
      <w:pPr>
        <w:spacing w:after="0" w:line="279" w:lineRule="exact"/>
        <w:rPr>
          <w:sz w:val="20"/>
          <w:szCs w:val="20"/>
          <w:color w:val="auto"/>
        </w:rPr>
      </w:pPr>
    </w:p>
    <w:p>
      <w:pPr>
        <w:ind w:left="660" w:right="20" w:hanging="328"/>
        <w:spacing w:after="0" w:line="227"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additional restricted stock units with an aggregate grant date fair value of $250,000.00 under the Company’s 2023 Stock Plan, with the restricted stock units vesting in three equal annual installments over a three-year period; and</w:t>
      </w:r>
    </w:p>
    <w:p>
      <w:pPr>
        <w:spacing w:after="0" w:line="234"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eligibility to participate in the Company’s Executive Severance Plan</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her appointment, Ms. Marquez will enter into the Company’s standard form of indemnification agreement for its directors and executive officers with the Company.</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Except as set forth above, there are no arrangements or understandings between Ms. Marquez and any other persons pursuant to which she was named to this position with the Company. There are no family relationships between Ms. Marquez and any of the Company’s directors or executive officers or any persons nominated or chosen by the Company to be a director or executive officer. Additionally, Ms. Marquez does not have any direct or indirect material interest in any transaction required to be disclosed pursuant to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18, 2025, the Company issued a press release in connection with the Chief Financial Officer transition. A copy of the press release is furnished herewith as Exhibit 99.1 to this Current Report on Form 8-K.</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information in this Current Report on Form 8-K furnished under this Item 7.01 shall not be deemed “filed” for any purpose, including for the purpose of Section 18 of the Securities Exchange Act of 1934, as amended (the “Exchange Act”), or otherwise subject to the liabilities of that Section. Furthermore, the information in this Current Report on Form 8-K furnished under this Item 7.01 shall not be deemed incorporated by reference into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1185545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99"/>
        </w:trPr>
        <w:tc>
          <w:tcPr>
            <w:tcW w:w="23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240" w:type="dxa"/>
            <w:vAlign w:val="bottom"/>
            <w:tcBorders>
              <w:top w:val="single" w:sz="8" w:color="auto"/>
            </w:tcBorders>
          </w:tcPr>
          <w:p>
            <w:pPr>
              <w:jc w:val="right"/>
              <w:ind w:right="87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September 18, 2025.</w:t>
            </w: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50"/>
        </w:trPr>
        <w:tc>
          <w:tcPr>
            <w:tcW w:w="2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Anterix Inc.</w:t>
            </w:r>
          </w:p>
        </w:tc>
      </w:tr>
      <w:tr>
        <w:trPr>
          <w:trHeight w:val="4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18, 2025</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Gena L. Ashe</w:t>
            </w:r>
          </w:p>
        </w:tc>
      </w:tr>
      <w:tr>
        <w:trPr>
          <w:trHeight w:val="263"/>
        </w:trPr>
        <w:tc>
          <w:tcPr>
            <w:tcW w:w="4760" w:type="dxa"/>
            <w:vAlign w:val="bottom"/>
          </w:tcPr>
          <w:p>
            <w:pPr>
              <w:spacing w:after="0"/>
              <w:rPr>
                <w:sz w:val="22"/>
                <w:szCs w:val="22"/>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Gena L. Ashe</w:t>
            </w:r>
          </w:p>
        </w:tc>
        <w:tc>
          <w:tcPr>
            <w:tcW w:w="2000" w:type="dxa"/>
            <w:vAlign w:val="bottom"/>
          </w:tcPr>
          <w:p>
            <w:pPr>
              <w:spacing w:after="0"/>
              <w:rPr>
                <w:sz w:val="22"/>
                <w:szCs w:val="22"/>
                <w:color w:val="auto"/>
              </w:rPr>
            </w:pPr>
          </w:p>
        </w:tc>
      </w:tr>
      <w:tr>
        <w:trPr>
          <w:trHeight w:val="243"/>
        </w:trPr>
        <w:tc>
          <w:tcPr>
            <w:tcW w:w="476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Legal Officer and Corporate Secretary</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Anterix Announces Executive Leadership Changes to Power Next Phase of Growth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highlight w:val="white"/>
        </w:rPr>
        <w:t>New appointments further position Anterix to scale private broadband innovation for critical industries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WOODLAND PARK, NJ, September 18, 2025 — Anterix (NASDAQ: ATEX), the leading provider of private wireless broadband spectrum for utilities today announced changes in the executive leadership team that further position the company to deliver transformative connectivity solutions to utilities and a growing set of critical infrastructure sectors.</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Anterix’s new senior leaders include Heather Martin as Chief Marketing Officer and Chief of Staff, and Elena Marquez as Chief Financial Officer, succeeding Tim Gray who is departing Anterix to pursue a new opportunity. These strategic changes reflect</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Anterix’s ongoing commitment to sharpen execution, deepen market engagement, and focus on scaling impact across the utility and other critical infrastructure sectors.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Heather Martin, Chief Marketing Officer and Chief of Staff</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With over 20 years of global marketing and executive experience, Martin most recently held a senior leadership role at NRG Energy, where she led corporate marketing efforts for its portfolio of retail energy brands—driving strategy across North America, South Africa, and the Caribbean. Earlier in her career, Martin played a pivotal role in shaping brand strategy and integrated campaigns for Dell, Shell Energy, Microsoft, and General Motors through her work with national advertising agencies. At Anterix, Martin will lead the national marketing strategy, amplifying brand authority, driving customer-centric innovation, and expanding market reach.</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Elena Marquez, Chief Financial Officer</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 seasoned financial leader with a strong operational mindset, Marquez has held senior finance roles across public and pre-IPO multinational companies in the financial services and biotech industries including leading a four-year transformation initiative at Prudential Financial. For the past four years, Marquez has served as Vice President of Finance and Controller at Anterix. In her new role as CFO, she will oversee all financial functions, ensuring fiscal discipline and strategic alignment as the company scales its impact across critical infrastructure sectors.</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“As I approach the end of my first year as CEO, our Accelerator initiative is unlocking significant opportunities, and FCC progress on the 5x5 NPRM brings us closer to recognizing the full value of 10 MHz of spectrum. I’m energized by the momentum we’ve built and the opportunities ahead for Anterix,” said Scott Lang, President and Chief Executive Officer of Anterix. “With these new leadership appointments, we mark a pivotal moment in our evolution. By adding and elevating exceptional leaders to our executive team, we are strengthening our foundation to innovate at scale and accelerate our mission to modernize the grid.” Lang continued, “On behalf of the Board of Directors and Anterix’s entire team, I would also like to thank Tim for his hard work and dedication to the Company. Over the past 11 years, he has been a trusted partner and a valued leader, and we wish him continued success in his next chapter.”</w:t>
      </w:r>
    </w:p>
    <w:p>
      <w:pPr>
        <w:sectPr>
          <w:pgSz w:w="11900" w:h="16838" w:orient="portrait"/>
          <w:cols w:equalWidth="0" w:num="1">
            <w:col w:w="11240"/>
          </w:cols>
          <w:pgMar w:left="320" w:top="1440" w:right="339" w:bottom="1440" w:gutter="0" w:footer="0" w:header="0"/>
        </w:sectPr>
      </w:pPr>
    </w:p>
    <w:bookmarkStart w:id="4" w:name="page5"/>
    <w:bookmarkEnd w:id="4"/>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Contact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Natasha Vecchiarelli</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Anterix</w:t>
      </w:r>
    </w:p>
    <w:p>
      <w:pPr>
        <w:spacing w:after="0"/>
        <w:rPr>
          <w:sz w:val="20"/>
          <w:szCs w:val="20"/>
          <w:color w:val="auto"/>
        </w:rPr>
      </w:pPr>
      <w:r>
        <w:rPr>
          <w:rFonts w:ascii="Arial" w:cs="Arial" w:eastAsia="Arial" w:hAnsi="Arial"/>
          <w:sz w:val="20"/>
          <w:szCs w:val="20"/>
          <w:color w:val="auto"/>
        </w:rPr>
        <w:t>973-531-4397</w:t>
      </w:r>
    </w:p>
    <w:p>
      <w:pPr>
        <w:spacing w:after="0"/>
        <w:rPr>
          <w:sz w:val="20"/>
          <w:szCs w:val="20"/>
          <w:color w:val="auto"/>
        </w:rPr>
      </w:pPr>
      <w:r>
        <w:rPr>
          <w:rFonts w:ascii="Arial" w:cs="Arial" w:eastAsia="Arial" w:hAnsi="Arial"/>
          <w:sz w:val="20"/>
          <w:szCs w:val="20"/>
          <w:color w:val="0563C1"/>
        </w:rPr>
        <w:t>nvecchiarelli@anterix.com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Paul Gaige</w:t>
      </w:r>
    </w:p>
    <w:p>
      <w:pPr>
        <w:spacing w:after="0" w:line="229" w:lineRule="auto"/>
        <w:rPr>
          <w:sz w:val="20"/>
          <w:szCs w:val="20"/>
          <w:color w:val="auto"/>
        </w:rPr>
      </w:pPr>
      <w:r>
        <w:rPr>
          <w:rFonts w:ascii="Arial" w:cs="Arial" w:eastAsia="Arial" w:hAnsi="Arial"/>
          <w:sz w:val="20"/>
          <w:szCs w:val="20"/>
          <w:color w:val="auto"/>
        </w:rPr>
        <w:t>Vice President Burson</w:t>
      </w:r>
    </w:p>
    <w:p>
      <w:pPr>
        <w:spacing w:after="0"/>
        <w:rPr>
          <w:sz w:val="20"/>
          <w:szCs w:val="20"/>
          <w:color w:val="auto"/>
        </w:rPr>
      </w:pPr>
      <w:r>
        <w:rPr>
          <w:rFonts w:ascii="Arial" w:cs="Arial" w:eastAsia="Arial" w:hAnsi="Arial"/>
          <w:sz w:val="20"/>
          <w:szCs w:val="20"/>
          <w:color w:val="auto"/>
        </w:rPr>
        <w:t>504-957-1434</w:t>
      </w:r>
    </w:p>
    <w:p>
      <w:pPr>
        <w:spacing w:after="0"/>
        <w:rPr>
          <w:sz w:val="20"/>
          <w:szCs w:val="20"/>
          <w:color w:val="auto"/>
        </w:rPr>
      </w:pPr>
      <w:r>
        <w:rPr>
          <w:rFonts w:ascii="Arial" w:cs="Arial" w:eastAsia="Arial" w:hAnsi="Arial"/>
          <w:sz w:val="20"/>
          <w:szCs w:val="20"/>
          <w:color w:val="0000FF"/>
        </w:rPr>
        <w:t>Paul.Gaige@bursonglobal.com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Anterix</w:t>
      </w:r>
    </w:p>
    <w:p>
      <w:pPr>
        <w:spacing w:after="0" w:line="24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 xml:space="preserve">At Anterix, we work with leading utilities and technology companies to harness the power of 900 MHz broadband for modernized grid solutions. Leading an ecosystem of more than 125 members, we offer utility-first solutions to modernize the grid and solve the challenges that utilities are facing today. As the largest holder of licensed spectrum in the 900 MHz band (896-901/935-940 MHz) throughout the contiguous United States, plus Alaska, Hawaii, and Puerto Rico, we are uniquely positioned to enable private wireless broadband solutions that support cutting-edge advanced communications capabilities for a cleaner, safer, and more secure energy future. To learn more and join the 900 MHz movement, please visit </w:t>
      </w:r>
      <w:r>
        <w:rPr>
          <w:rFonts w:ascii="Arial" w:cs="Arial" w:eastAsia="Arial" w:hAnsi="Arial"/>
          <w:sz w:val="19"/>
          <w:szCs w:val="19"/>
          <w:color w:val="0000FF"/>
        </w:rPr>
        <w:t>www.anterix.com</w:t>
      </w:r>
      <w:r>
        <w:rPr>
          <w:rFonts w:ascii="Arial" w:cs="Arial" w:eastAsia="Arial" w:hAnsi="Arial"/>
          <w:sz w:val="19"/>
          <w:szCs w:val="19"/>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1" w:lineRule="exact"/>
        <w:rPr>
          <w:sz w:val="20"/>
          <w:szCs w:val="20"/>
          <w:color w:val="auto"/>
        </w:rPr>
      </w:pPr>
    </w:p>
    <w:p>
      <w:pPr>
        <w:ind w:right="300"/>
        <w:spacing w:after="0" w:line="239" w:lineRule="auto"/>
        <w:rPr>
          <w:sz w:val="20"/>
          <w:szCs w:val="20"/>
          <w:color w:val="auto"/>
        </w:rPr>
      </w:pPr>
      <w:r>
        <w:rPr>
          <w:rFonts w:ascii="Arial" w:cs="Arial" w:eastAsia="Arial" w:hAnsi="Arial"/>
          <w:sz w:val="19"/>
          <w:szCs w:val="19"/>
          <w:color w:val="auto"/>
        </w:rPr>
        <w:t>Certain statements contained in this press release constitute forward-looking statements within the meaning of the federal securities laws that involve risks and uncertainties. Forward-looking statements include, without limitation, any statement that</w:t>
      </w:r>
    </w:p>
    <w:p>
      <w:pPr>
        <w:spacing w:after="0" w:line="226" w:lineRule="auto"/>
        <w:rPr>
          <w:sz w:val="20"/>
          <w:szCs w:val="20"/>
          <w:color w:val="auto"/>
        </w:rPr>
      </w:pPr>
      <w:r>
        <w:rPr>
          <w:rFonts w:ascii="Arial" w:cs="Arial" w:eastAsia="Arial" w:hAnsi="Arial"/>
          <w:sz w:val="20"/>
          <w:szCs w:val="20"/>
          <w:color w:val="auto"/>
        </w:rPr>
        <w:t>may predict, forecast, indicate or imply future events or achievements such as statements in this press release related to</w:t>
      </w:r>
    </w:p>
    <w:p>
      <w:pPr>
        <w:spacing w:after="0" w:line="1" w:lineRule="exact"/>
        <w:rPr>
          <w:sz w:val="20"/>
          <w:szCs w:val="20"/>
          <w:color w:val="auto"/>
        </w:rPr>
      </w:pPr>
    </w:p>
    <w:p>
      <w:pPr>
        <w:ind w:right="640"/>
        <w:spacing w:after="0" w:line="229" w:lineRule="auto"/>
        <w:rPr>
          <w:sz w:val="20"/>
          <w:szCs w:val="20"/>
          <w:color w:val="auto"/>
        </w:rPr>
      </w:pPr>
      <w:r>
        <w:rPr>
          <w:rFonts w:ascii="Arial" w:cs="Arial" w:eastAsia="Arial" w:hAnsi="Arial"/>
          <w:sz w:val="19"/>
          <w:szCs w:val="19"/>
          <w:color w:val="auto"/>
        </w:rPr>
        <w:t>Anterix’s business, financial results, outlook, or opportunities. Actual events or results may differ materially from those contemplated in this press release. Forward-looking statements speak only as of the date they are made and readers are</w:t>
      </w:r>
    </w:p>
    <w:p>
      <w:pPr>
        <w:spacing w:after="0" w:line="227" w:lineRule="auto"/>
        <w:rPr>
          <w:sz w:val="20"/>
          <w:szCs w:val="20"/>
          <w:color w:val="auto"/>
        </w:rPr>
      </w:pPr>
      <w:r>
        <w:rPr>
          <w:rFonts w:ascii="Arial" w:cs="Arial" w:eastAsia="Arial" w:hAnsi="Arial"/>
          <w:sz w:val="20"/>
          <w:szCs w:val="20"/>
          <w:color w:val="auto"/>
        </w:rPr>
        <w:t>cautioned not to put undue reliance on such statements, as they are subject to a number of risks and uncertainties that could</w:t>
      </w:r>
    </w:p>
    <w:p>
      <w:pPr>
        <w:ind w:right="80"/>
        <w:spacing w:after="0" w:line="229" w:lineRule="auto"/>
        <w:rPr>
          <w:sz w:val="20"/>
          <w:szCs w:val="20"/>
          <w:color w:val="auto"/>
        </w:rPr>
      </w:pPr>
      <w:r>
        <w:rPr>
          <w:rFonts w:ascii="Arial" w:cs="Arial" w:eastAsia="Arial" w:hAnsi="Arial"/>
          <w:sz w:val="19"/>
          <w:szCs w:val="19"/>
          <w:color w:val="auto"/>
        </w:rPr>
        <w:t>cause Anterix’s actual future results to differ materially from results indicated in the forward-looking statement. Such statements are based on assumptions that could cause actual results to differ materially from those in the forward-looking statements.</w:t>
      </w:r>
    </w:p>
    <w:p>
      <w:pPr>
        <w:spacing w:after="0" w:line="227" w:lineRule="auto"/>
        <w:rPr>
          <w:sz w:val="20"/>
          <w:szCs w:val="20"/>
          <w:color w:val="auto"/>
        </w:rPr>
      </w:pPr>
      <w:r>
        <w:rPr>
          <w:rFonts w:ascii="Arial" w:cs="Arial" w:eastAsia="Arial" w:hAnsi="Arial"/>
          <w:sz w:val="20"/>
          <w:szCs w:val="20"/>
          <w:color w:val="auto"/>
        </w:rPr>
        <w:t>Actual events or results may differ materially from those contemplated in this press release. Anterix’s filings with the Securities</w:t>
      </w:r>
    </w:p>
    <w:p>
      <w:pPr>
        <w:jc w:val="both"/>
        <w:spacing w:after="0" w:line="229" w:lineRule="auto"/>
        <w:rPr>
          <w:sz w:val="20"/>
          <w:szCs w:val="20"/>
          <w:color w:val="auto"/>
        </w:rPr>
      </w:pPr>
      <w:r>
        <w:rPr>
          <w:rFonts w:ascii="Arial" w:cs="Arial" w:eastAsia="Arial" w:hAnsi="Arial"/>
          <w:sz w:val="19"/>
          <w:szCs w:val="19"/>
          <w:color w:val="auto"/>
        </w:rPr>
        <w:t xml:space="preserve">and Exchange Commission (“SEC”), which you may obtain for free at the SEC’s website at </w:t>
      </w:r>
      <w:r>
        <w:rPr>
          <w:rFonts w:ascii="Arial" w:cs="Arial" w:eastAsia="Arial" w:hAnsi="Arial"/>
          <w:sz w:val="19"/>
          <w:szCs w:val="19"/>
          <w:color w:val="0000FF"/>
        </w:rPr>
        <w:t>http://www.sec.gov</w:t>
      </w:r>
      <w:r>
        <w:rPr>
          <w:rFonts w:ascii="Arial" w:cs="Arial" w:eastAsia="Arial" w:hAnsi="Arial"/>
          <w:sz w:val="19"/>
          <w:szCs w:val="19"/>
          <w:color w:val="auto"/>
        </w:rPr>
        <w:t>, discuss some of the important risk factors that may affect the Company’s financial outlook, business, results of operations and financial condition.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Anterix undertakes no obligation to update publicly or revise any forward-looking statements contained herein.</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2025-09-18T06:34:33Z</dcterms:created>
  <dcterms:modified xsi:type="dcterms:W3CDTF">2025-09-18T06:34:33Z</dcterms:modified>
</cp:coreProperties>
</file>