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8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March 25, 2026</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Anterix Inc.</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8" w:lineRule="exact"/>
        <w:rPr>
          <w:sz w:val="24"/>
          <w:szCs w:val="24"/>
          <w:color w:val="auto"/>
        </w:rPr>
      </w:pPr>
    </w:p>
    <w:tbl>
      <w:tblPr>
        <w:tblLayout w:type="fixed"/>
        <w:tblInd w:w="960" w:type="dxa"/>
        <w:tblCellMar>
          <w:top w:w="0" w:type="dxa"/>
          <w:left w:w="0" w:type="dxa"/>
          <w:bottom w:w="0" w:type="dxa"/>
          <w:right w:w="0" w:type="dxa"/>
        </w:tblCellMar>
      </w:tblPr>
      <w:tr>
        <w:trPr>
          <w:trHeight w:val="186"/>
        </w:trPr>
        <w:tc>
          <w:tcPr>
            <w:tcW w:w="3100" w:type="dxa"/>
            <w:vAlign w:val="bottom"/>
          </w:tcPr>
          <w:p>
            <w:pPr>
              <w:jc w:val="center"/>
              <w:ind w:right="15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60" w:type="dxa"/>
            <w:vAlign w:val="bottom"/>
          </w:tcPr>
          <w:p>
            <w:pPr>
              <w:jc w:val="right"/>
              <w:ind w:right="1569"/>
              <w:spacing w:after="0"/>
              <w:rPr>
                <w:sz w:val="20"/>
                <w:szCs w:val="20"/>
                <w:color w:val="auto"/>
              </w:rPr>
            </w:pPr>
            <w:r>
              <w:rPr>
                <w:rFonts w:ascii="Times New Roman" w:cs="Times New Roman" w:eastAsia="Times New Roman" w:hAnsi="Times New Roman"/>
                <w:sz w:val="14"/>
                <w:szCs w:val="14"/>
                <w:b w:val="1"/>
                <w:bCs w:val="1"/>
                <w:color w:val="auto"/>
              </w:rPr>
              <w:t>001-36827</w:t>
            </w:r>
          </w:p>
        </w:tc>
        <w:tc>
          <w:tcPr>
            <w:tcW w:w="250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33-0745043</w:t>
            </w:r>
          </w:p>
        </w:tc>
        <w:tc>
          <w:tcPr>
            <w:tcW w:w="0" w:type="dxa"/>
            <w:vAlign w:val="bottom"/>
          </w:tcPr>
          <w:p>
            <w:pPr>
              <w:spacing w:after="0"/>
              <w:rPr>
                <w:sz w:val="1"/>
                <w:szCs w:val="1"/>
                <w:color w:val="auto"/>
              </w:rPr>
            </w:pPr>
          </w:p>
        </w:tc>
      </w:tr>
      <w:tr>
        <w:trPr>
          <w:trHeight w:val="191"/>
        </w:trPr>
        <w:tc>
          <w:tcPr>
            <w:tcW w:w="3100" w:type="dxa"/>
            <w:vAlign w:val="bottom"/>
          </w:tcPr>
          <w:p>
            <w:pPr>
              <w:jc w:val="center"/>
              <w:ind w:right="152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5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(Commission File Number)</w:t>
            </w:r>
          </w:p>
        </w:tc>
        <w:tc>
          <w:tcPr>
            <w:tcW w:w="250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91"/>
        </w:trPr>
        <w:tc>
          <w:tcPr>
            <w:tcW w:w="3100" w:type="dxa"/>
            <w:vAlign w:val="bottom"/>
          </w:tcPr>
          <w:p>
            <w:pPr>
              <w:jc w:val="center"/>
              <w:ind w:right="1549"/>
              <w:spacing w:after="0"/>
              <w:rPr>
                <w:sz w:val="20"/>
                <w:szCs w:val="20"/>
                <w:color w:val="auto"/>
              </w:rPr>
            </w:pPr>
            <w:r>
              <w:rPr>
                <w:rFonts w:ascii="Times New Roman" w:cs="Times New Roman" w:eastAsia="Times New Roman" w:hAnsi="Times New Roman"/>
                <w:sz w:val="14"/>
                <w:szCs w:val="14"/>
                <w:color w:val="auto"/>
              </w:rPr>
              <w:t>of incorporation)</w:t>
            </w:r>
          </w:p>
        </w:tc>
        <w:tc>
          <w:tcPr>
            <w:tcW w:w="3560" w:type="dxa"/>
            <w:vAlign w:val="bottom"/>
          </w:tcPr>
          <w:p>
            <w:pPr>
              <w:spacing w:after="0"/>
              <w:rPr>
                <w:sz w:val="16"/>
                <w:szCs w:val="16"/>
                <w:color w:val="auto"/>
              </w:rPr>
            </w:pPr>
          </w:p>
        </w:tc>
        <w:tc>
          <w:tcPr>
            <w:tcW w:w="250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9"/>
              </w:rPr>
              <w:t>Identification No.)</w:t>
            </w:r>
          </w:p>
        </w:tc>
        <w:tc>
          <w:tcPr>
            <w:tcW w:w="0" w:type="dxa"/>
            <w:vAlign w:val="bottom"/>
          </w:tcPr>
          <w:p>
            <w:pPr>
              <w:spacing w:after="0"/>
              <w:rPr>
                <w:sz w:val="1"/>
                <w:szCs w:val="1"/>
                <w:color w:val="auto"/>
              </w:rPr>
            </w:pPr>
          </w:p>
        </w:tc>
      </w:tr>
      <w:tr>
        <w:trPr>
          <w:trHeight w:val="419"/>
        </w:trPr>
        <w:tc>
          <w:tcPr>
            <w:tcW w:w="31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 Garret Mountain Plaza</w:t>
            </w:r>
          </w:p>
        </w:tc>
        <w:tc>
          <w:tcPr>
            <w:tcW w:w="3560" w:type="dxa"/>
            <w:vAlign w:val="bottom"/>
          </w:tcPr>
          <w:p>
            <w:pPr>
              <w:spacing w:after="0"/>
              <w:rPr>
                <w:sz w:val="24"/>
                <w:szCs w:val="24"/>
                <w:color w:val="auto"/>
              </w:rPr>
            </w:pPr>
          </w:p>
        </w:tc>
        <w:tc>
          <w:tcPr>
            <w:tcW w:w="2500" w:type="dxa"/>
            <w:vAlign w:val="bottom"/>
            <w:vMerge w:val="restart"/>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07424</w:t>
            </w:r>
          </w:p>
        </w:tc>
        <w:tc>
          <w:tcPr>
            <w:tcW w:w="0" w:type="dxa"/>
            <w:vAlign w:val="bottom"/>
          </w:tcPr>
          <w:p>
            <w:pPr>
              <w:spacing w:after="0"/>
              <w:rPr>
                <w:sz w:val="1"/>
                <w:szCs w:val="1"/>
                <w:color w:val="auto"/>
              </w:rPr>
            </w:pPr>
          </w:p>
        </w:tc>
      </w:tr>
      <w:tr>
        <w:trPr>
          <w:trHeight w:val="149"/>
        </w:trPr>
        <w:tc>
          <w:tcPr>
            <w:tcW w:w="3100" w:type="dxa"/>
            <w:vAlign w:val="bottom"/>
          </w:tcPr>
          <w:p>
            <w:pPr>
              <w:jc w:val="center"/>
              <w:ind w:left="509"/>
              <w:spacing w:after="0" w:line="149" w:lineRule="exact"/>
              <w:rPr>
                <w:sz w:val="20"/>
                <w:szCs w:val="20"/>
                <w:color w:val="auto"/>
              </w:rPr>
            </w:pPr>
            <w:r>
              <w:rPr>
                <w:rFonts w:ascii="Times New Roman" w:cs="Times New Roman" w:eastAsia="Times New Roman" w:hAnsi="Times New Roman"/>
                <w:sz w:val="14"/>
                <w:szCs w:val="14"/>
                <w:b w:val="1"/>
                <w:bCs w:val="1"/>
                <w:color w:val="auto"/>
              </w:rPr>
              <w:t>Suite 401</w:t>
            </w:r>
          </w:p>
        </w:tc>
        <w:tc>
          <w:tcPr>
            <w:tcW w:w="356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Woodland Park, NJ</w:t>
            </w:r>
          </w:p>
        </w:tc>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60" w:type="dxa"/>
            <w:vAlign w:val="bottom"/>
          </w:tcPr>
          <w:p>
            <w:pPr>
              <w:spacing w:after="0"/>
              <w:rPr>
                <w:sz w:val="17"/>
                <w:szCs w:val="17"/>
                <w:color w:val="auto"/>
              </w:rPr>
            </w:pPr>
          </w:p>
        </w:tc>
        <w:tc>
          <w:tcPr>
            <w:tcW w:w="2500" w:type="dxa"/>
            <w:vAlign w:val="bottom"/>
          </w:tcPr>
          <w:p>
            <w:pPr>
              <w:jc w:val="center"/>
              <w:ind w:right="72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3560" w:type="dxa"/>
            <w:vAlign w:val="bottom"/>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(973) 771-0300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356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 w:lineRule="exact"/>
        <w:rPr>
          <w:rFonts w:ascii="MS PGothic" w:cs="MS PGothic" w:eastAsia="MS PGothic" w:hAnsi="MS PGothic"/>
          <w:sz w:val="14"/>
          <w:szCs w:val="14"/>
          <w:color w:val="auto"/>
        </w:rPr>
      </w:pPr>
    </w:p>
    <w:p>
      <w:pPr>
        <w:ind w:left="160" w:hanging="155"/>
        <w:spacing w:after="0" w:line="221"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240.14a-12(b))</w:t>
      </w:r>
    </w:p>
    <w:p>
      <w:pPr>
        <w:ind w:left="160" w:hanging="155"/>
        <w:spacing w:after="0" w:line="221"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ind w:left="160" w:hanging="155"/>
        <w:spacing w:after="0" w:line="237"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Trading symbol</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$0.0001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ATEX</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2"/>
        </w:trPr>
        <w:tc>
          <w:tcPr>
            <w:tcW w:w="454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r>
    </w:tbl>
    <w:p>
      <w:pPr>
        <w:spacing w:after="0" w:line="49" w:lineRule="exact"/>
        <w:rPr>
          <w:sz w:val="24"/>
          <w:szCs w:val="24"/>
          <w:color w:val="auto"/>
        </w:rPr>
      </w:pPr>
    </w:p>
    <w:p>
      <w:pPr>
        <w:ind w:right="42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7" w:lineRule="exact"/>
        <w:rPr>
          <w:sz w:val="24"/>
          <w:szCs w:val="24"/>
          <w:color w:val="auto"/>
        </w:rPr>
      </w:pPr>
    </w:p>
    <w:p>
      <w:pPr>
        <w:ind w:right="22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On March 25, 2026, Anterix Inc. (the “Company”) announced that its wholly-owned subsidiary, PDV Spectrum Holding Company, LLC (“PDV”), entered into a spectrum license sale agreement with Texas-New Mexico Power (“TNMP”) under which PDV sold to TNMP a 900 MHz broadband license covering portions of Brazoria and Galveston counties in Texas (the “TNMP Agreement”).</w:t>
      </w:r>
    </w:p>
    <w:p>
      <w:pPr>
        <w:spacing w:after="0" w:line="146"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The Company issued a press release announcing the TNMP Agreement and posted a Fact Sheet (the “Fact Sheet”) containing additional information regarding the material terms of the TNMP Agreement on the Investor Relations page of its website at: www.investors.anterix.com.</w:t>
      </w:r>
    </w:p>
    <w:p>
      <w:pPr>
        <w:spacing w:after="0" w:line="14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A copy of the press release and Fact Sheet are being filed as Exhibit 99.1 and Exhibit 99.2 to this Current Report on Form 8-K, respectively, and each is incorporated herein by reference. The information on or accessible through the Company’s website, other than the Fact Sheet, is not incorporated into this Current Report on Form 8-K.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80" w:type="dxa"/>
            <w:vAlign w:val="bottom"/>
          </w:tcPr>
          <w:p>
            <w:pPr>
              <w:spacing w:after="0"/>
              <w:rPr>
                <w:sz w:val="16"/>
                <w:szCs w:val="16"/>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0"/>
        </w:trPr>
        <w:tc>
          <w:tcPr>
            <w:tcW w:w="2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99.1</w:t>
            </w:r>
          </w:p>
        </w:tc>
        <w:tc>
          <w:tcPr>
            <w:tcW w:w="780" w:type="dxa"/>
            <w:vAlign w:val="bottom"/>
          </w:tcPr>
          <w:p>
            <w:pPr>
              <w:spacing w:after="0"/>
              <w:rPr>
                <w:sz w:val="12"/>
                <w:szCs w:val="12"/>
                <w:color w:val="auto"/>
              </w:rPr>
            </w:pPr>
          </w:p>
        </w:tc>
        <w:tc>
          <w:tcPr>
            <w:tcW w:w="778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0000FF"/>
              </w:rPr>
              <w:t>Press Release dated April 1, 2026</w:t>
            </w:r>
          </w:p>
        </w:tc>
      </w:tr>
      <w:tr>
        <w:trPr>
          <w:trHeight w:val="160"/>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780" w:type="dxa"/>
            <w:vAlign w:val="bottom"/>
          </w:tcPr>
          <w:p>
            <w:pPr>
              <w:spacing w:after="0"/>
              <w:rPr>
                <w:sz w:val="13"/>
                <w:szCs w:val="13"/>
                <w:color w:val="auto"/>
              </w:rPr>
            </w:pPr>
          </w:p>
        </w:tc>
        <w:tc>
          <w:tcPr>
            <w:tcW w:w="19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Fact Sheet dated April 1, 2026</w:t>
            </w:r>
          </w:p>
        </w:tc>
        <w:tc>
          <w:tcPr>
            <w:tcW w:w="5880" w:type="dxa"/>
            <w:vAlign w:val="bottom"/>
          </w:tcPr>
          <w:p>
            <w:pPr>
              <w:spacing w:after="0"/>
              <w:rPr>
                <w:sz w:val="13"/>
                <w:szCs w:val="13"/>
                <w:color w:val="auto"/>
              </w:rPr>
            </w:pPr>
          </w:p>
        </w:tc>
      </w:tr>
      <w:tr>
        <w:trPr>
          <w:trHeight w:val="20"/>
        </w:trPr>
        <w:tc>
          <w:tcPr>
            <w:tcW w:w="2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r>
      <w:tr>
        <w:trPr>
          <w:trHeight w:val="192"/>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780" w:type="dxa"/>
            <w:vAlign w:val="bottom"/>
          </w:tcPr>
          <w:p>
            <w:pPr>
              <w:spacing w:after="0"/>
              <w:rPr>
                <w:sz w:val="16"/>
                <w:szCs w:val="16"/>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r>
      <w:tr>
        <w:trPr>
          <w:trHeight w:val="978"/>
        </w:trPr>
        <w:tc>
          <w:tcPr>
            <w:tcW w:w="2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Anterix Inc.</w:t>
            </w:r>
          </w:p>
        </w:tc>
      </w:tr>
      <w:tr>
        <w:trPr>
          <w:trHeight w:val="35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 April 1, 2026</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 Gena L. Ashe</w:t>
            </w:r>
          </w:p>
        </w:tc>
        <w:tc>
          <w:tcPr>
            <w:tcW w:w="1560" w:type="dxa"/>
            <w:vAlign w:val="bottom"/>
          </w:tcPr>
          <w:p>
            <w:pPr>
              <w:spacing w:after="0"/>
              <w:rPr>
                <w:sz w:val="24"/>
                <w:szCs w:val="24"/>
                <w:color w:val="auto"/>
              </w:rPr>
            </w:pPr>
          </w:p>
        </w:tc>
      </w:tr>
      <w:tr>
        <w:trPr>
          <w:trHeight w:val="202"/>
        </w:trPr>
        <w:tc>
          <w:tcPr>
            <w:tcW w:w="480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Gena L. Ashe</w:t>
            </w:r>
          </w:p>
        </w:tc>
      </w:tr>
      <w:tr>
        <w:trPr>
          <w:trHeight w:val="191"/>
        </w:trPr>
        <w:tc>
          <w:tcPr>
            <w:tcW w:w="480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Legal Officer and Corporate Secretary</w:t>
            </w:r>
          </w:p>
        </w:tc>
      </w:tr>
      <w:tr>
        <w:trPr>
          <w:trHeight w:val="244"/>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ectPr>
          <w:pgSz w:w="11900" w:h="16838" w:orient="portrait"/>
          <w:cols w:equalWidth="0" w:num="1">
            <w:col w:w="10380"/>
          </w:cols>
          <w:pgMar w:left="300" w:top="823" w:right="1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2026-04-01T06:31:56Z</dcterms:created>
  <dcterms:modified xsi:type="dcterms:W3CDTF">2026-04-01T06:31:56Z</dcterms:modified>
</cp:coreProperties>
</file>